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83A264">
      <w:pPr>
        <w:adjustRightInd w:val="0"/>
        <w:snapToGrid w:val="0"/>
        <w:spacing w:line="576" w:lineRule="exact"/>
        <w:rPr>
          <w:rFonts w:ascii="黑体" w:hAnsi="黑体" w:eastAsia="黑体" w:cs="黑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附件1</w:t>
      </w:r>
    </w:p>
    <w:p w14:paraId="214ED37F">
      <w:pPr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</w:rPr>
        <w:t>报价函（第一次/第二次）</w:t>
      </w:r>
    </w:p>
    <w:tbl>
      <w:tblPr>
        <w:tblStyle w:val="5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7"/>
        <w:gridCol w:w="3741"/>
      </w:tblGrid>
      <w:tr w14:paraId="6B62A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07" w:type="dxa"/>
          </w:tcPr>
          <w:p w14:paraId="77E9AC48"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项  目</w:t>
            </w:r>
          </w:p>
        </w:tc>
        <w:tc>
          <w:tcPr>
            <w:tcW w:w="3741" w:type="dxa"/>
          </w:tcPr>
          <w:p w14:paraId="24D76AEE">
            <w:pPr>
              <w:spacing w:line="576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收费标准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（单位：元）</w:t>
            </w:r>
          </w:p>
        </w:tc>
      </w:tr>
      <w:tr w14:paraId="41895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7" w:type="dxa"/>
          </w:tcPr>
          <w:p w14:paraId="08ED5091"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绵阳市事兴汽车综合性能检测有限公司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财务收支及内部控制专项审计</w:t>
            </w:r>
          </w:p>
        </w:tc>
        <w:tc>
          <w:tcPr>
            <w:tcW w:w="3741" w:type="dxa"/>
          </w:tcPr>
          <w:p w14:paraId="2D7FB075">
            <w:pPr>
              <w:spacing w:line="576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 w14:paraId="456D0FAE">
      <w:pPr>
        <w:spacing w:line="576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2104D069">
      <w:pPr>
        <w:rPr>
          <w:rFonts w:ascii="仿宋_GB2312" w:hAnsi="仿宋_GB2312" w:eastAsia="仿宋_GB2312" w:cs="仿宋_GB2312"/>
          <w:sz w:val="32"/>
          <w:szCs w:val="32"/>
        </w:rPr>
      </w:pPr>
    </w:p>
    <w:p w14:paraId="394E3400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投标人:(盖鲜章)</w:t>
      </w:r>
    </w:p>
    <w:p w14:paraId="14CD00CF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年   月   日</w:t>
      </w:r>
    </w:p>
    <w:p w14:paraId="457EB5F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FF4C936-E246-4EDB-9BE1-E0E95A8A35D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1E681AF-9383-45F4-8A26-993AD983E81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C407570-8CCA-44FF-AE0A-F229AAFE6C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26956EC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2024-09-09T08:02:28Z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2FAB178A22B44B0499CA7FD4B3A73082</vt:lpwstr>
  </property>
</Properties>
</file>